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9169" w14:textId="1F8D9525" w:rsidR="00B00CBE" w:rsidRPr="003E6257" w:rsidRDefault="00B841F7" w:rsidP="00E6141B">
      <w:pPr>
        <w:pStyle w:val="Ttulo2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 w:rsidR="003E6257" w:rsidRPr="003E6257">
        <w:rPr>
          <w:b/>
          <w:color w:val="auto"/>
        </w:rPr>
        <w:t xml:space="preserve">Anexo 11. Organización y manejo de </w:t>
      </w:r>
      <w:r w:rsidR="00126DBF" w:rsidRPr="003E6257">
        <w:rPr>
          <w:b/>
          <w:color w:val="auto"/>
        </w:rPr>
        <w:t xml:space="preserve"> la sala de situación</w:t>
      </w:r>
    </w:p>
    <w:p w14:paraId="34122610" w14:textId="77777777" w:rsidR="004D397E" w:rsidRDefault="004D397E" w:rsidP="004D397E"/>
    <w:p w14:paraId="374B0124" w14:textId="159F80D0" w:rsidR="00B00CBE" w:rsidRDefault="002268B9" w:rsidP="003E6257">
      <w:pPr>
        <w:tabs>
          <w:tab w:val="left" w:pos="265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Introducción </w:t>
      </w:r>
      <w:r w:rsidRPr="002268B9">
        <w:rPr>
          <w:rFonts w:ascii="Arial" w:hAnsi="Arial" w:cs="Arial"/>
          <w:b/>
        </w:rPr>
        <w:t xml:space="preserve"> </w:t>
      </w:r>
      <w:r w:rsidR="003E6257">
        <w:rPr>
          <w:rFonts w:ascii="Arial" w:hAnsi="Arial" w:cs="Arial"/>
          <w:b/>
        </w:rPr>
        <w:tab/>
      </w:r>
    </w:p>
    <w:p w14:paraId="537786F0" w14:textId="77777777" w:rsidR="002268B9" w:rsidRPr="002268B9" w:rsidRDefault="002268B9" w:rsidP="002268B9">
      <w:pPr>
        <w:spacing w:after="0"/>
        <w:jc w:val="both"/>
        <w:rPr>
          <w:rFonts w:ascii="Arial" w:hAnsi="Arial" w:cs="Arial"/>
          <w:b/>
        </w:rPr>
      </w:pPr>
    </w:p>
    <w:p w14:paraId="2B807C41" w14:textId="77777777" w:rsidR="00A20953" w:rsidRDefault="00A20953" w:rsidP="00A2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ERRA </w:t>
      </w:r>
      <w:r w:rsidRPr="000D7C5F">
        <w:rPr>
          <w:rFonts w:ascii="Arial" w:hAnsi="Arial" w:cs="Arial"/>
        </w:rPr>
        <w:t xml:space="preserve">Se deberá </w:t>
      </w:r>
      <w:r>
        <w:rPr>
          <w:rFonts w:ascii="Arial" w:hAnsi="Arial" w:cs="Arial"/>
        </w:rPr>
        <w:t xml:space="preserve">coordinar la organización y preparación de la sala situacional del brote, a nivel nacional, provincial, municipal   y local, la sala de situación debe ubicarse físicamente </w:t>
      </w:r>
      <w:r w:rsidRPr="000D7C5F">
        <w:rPr>
          <w:rFonts w:ascii="Arial" w:hAnsi="Arial" w:cs="Arial"/>
        </w:rPr>
        <w:t xml:space="preserve">en un lugar visible y accesible con el fin de sistematizar </w:t>
      </w:r>
      <w:r>
        <w:rPr>
          <w:rFonts w:ascii="Arial" w:hAnsi="Arial" w:cs="Arial"/>
        </w:rPr>
        <w:t xml:space="preserve">y utilizar </w:t>
      </w:r>
      <w:r w:rsidRPr="000D7C5F">
        <w:rPr>
          <w:rFonts w:ascii="Arial" w:hAnsi="Arial" w:cs="Arial"/>
        </w:rPr>
        <w:t xml:space="preserve">toda la información obtenida </w:t>
      </w:r>
      <w:r>
        <w:rPr>
          <w:rFonts w:ascii="Arial" w:hAnsi="Arial" w:cs="Arial"/>
        </w:rPr>
        <w:t xml:space="preserve">para tomar decisiones, en cuanto a la </w:t>
      </w:r>
      <w:r w:rsidRPr="000D7C5F">
        <w:rPr>
          <w:rFonts w:ascii="Arial" w:hAnsi="Arial" w:cs="Arial"/>
        </w:rPr>
        <w:t xml:space="preserve">ejecución </w:t>
      </w:r>
      <w:r>
        <w:rPr>
          <w:rFonts w:ascii="Arial" w:hAnsi="Arial" w:cs="Arial"/>
        </w:rPr>
        <w:t xml:space="preserve">y evaluación de impacto </w:t>
      </w:r>
      <w:r w:rsidRPr="000D7C5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medidas de control. También puede ser una sala de situación virtual, si se cuenta con los medios de sitios online compartidos entre niveles del sistema de salud, </w:t>
      </w:r>
      <w:r w:rsidRPr="000D7C5F">
        <w:rPr>
          <w:rFonts w:ascii="Arial" w:hAnsi="Arial" w:cs="Arial"/>
        </w:rPr>
        <w:t xml:space="preserve"> lo</w:t>
      </w:r>
      <w:r>
        <w:rPr>
          <w:rFonts w:ascii="Arial" w:hAnsi="Arial" w:cs="Arial"/>
        </w:rPr>
        <w:t xml:space="preserve"> que permitirá </w:t>
      </w:r>
      <w:r w:rsidRPr="00E974B0">
        <w:rPr>
          <w:rFonts w:ascii="Arial" w:hAnsi="Arial" w:cs="Arial"/>
        </w:rPr>
        <w:t>disponer de la información sobre</w:t>
      </w:r>
      <w:r>
        <w:rPr>
          <w:rFonts w:ascii="Arial" w:hAnsi="Arial" w:cs="Arial"/>
        </w:rPr>
        <w:t>:</w:t>
      </w:r>
      <w:r w:rsidRPr="00E974B0">
        <w:rPr>
          <w:rFonts w:ascii="Arial" w:hAnsi="Arial" w:cs="Arial"/>
        </w:rPr>
        <w:t xml:space="preserve"> </w:t>
      </w:r>
    </w:p>
    <w:p w14:paraId="7B2BA5FF" w14:textId="77777777" w:rsidR="00A20953" w:rsidRDefault="00A20953" w:rsidP="00A2095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5584B">
        <w:rPr>
          <w:rFonts w:ascii="Arial" w:hAnsi="Arial" w:cs="Arial"/>
        </w:rPr>
        <w:t xml:space="preserve">Riesgos y daños a la salud; </w:t>
      </w:r>
    </w:p>
    <w:p w14:paraId="548C266A" w14:textId="77777777" w:rsidR="00A20953" w:rsidRPr="0075584B" w:rsidRDefault="00A20953" w:rsidP="00A20953">
      <w:pPr>
        <w:pStyle w:val="Prrafodelista"/>
        <w:jc w:val="both"/>
        <w:rPr>
          <w:rFonts w:ascii="Arial" w:hAnsi="Arial" w:cs="Arial"/>
        </w:rPr>
      </w:pPr>
    </w:p>
    <w:p w14:paraId="1FAA973D" w14:textId="77777777" w:rsidR="00A20953" w:rsidRDefault="00A20953" w:rsidP="00A2095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5584B">
        <w:rPr>
          <w:rFonts w:ascii="Arial" w:hAnsi="Arial" w:cs="Arial"/>
        </w:rPr>
        <w:t xml:space="preserve">Intervenciones realizadas utilizando protocolos estandarizados; </w:t>
      </w:r>
    </w:p>
    <w:p w14:paraId="6E78B3C2" w14:textId="77777777" w:rsidR="00A20953" w:rsidRPr="0075584B" w:rsidRDefault="00A20953" w:rsidP="00A20953">
      <w:pPr>
        <w:spacing w:after="0"/>
        <w:jc w:val="both"/>
        <w:rPr>
          <w:rFonts w:ascii="Arial" w:hAnsi="Arial" w:cs="Arial"/>
        </w:rPr>
      </w:pPr>
    </w:p>
    <w:p w14:paraId="279506F3" w14:textId="77777777" w:rsidR="00A20953" w:rsidRDefault="00A20953" w:rsidP="00A2095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5584B">
        <w:rPr>
          <w:rFonts w:ascii="Arial" w:hAnsi="Arial" w:cs="Arial"/>
        </w:rPr>
        <w:t>Difusión  y comunicación de la información o por paneles  que incluya (Antecedentes, Situación actual de casos (sospechosos, confirmados, descartados y en investigación), Vigilancia de morbilidad y mortalidad, Organización de la red de servicios,  medidas de control según estrategias de vacunación, BAI Y BAC, MRV, Hipótesis de contagio, Comunicación y difusión, Líneas de acción,  diseminación del virus según municipios), entre otras.</w:t>
      </w:r>
    </w:p>
    <w:p w14:paraId="1B385A4B" w14:textId="77777777" w:rsidR="00A20953" w:rsidRDefault="00A20953" w:rsidP="00B00CBE">
      <w:pPr>
        <w:spacing w:after="0"/>
        <w:jc w:val="both"/>
        <w:rPr>
          <w:rFonts w:ascii="Arial" w:hAnsi="Arial" w:cs="Arial"/>
        </w:rPr>
      </w:pPr>
    </w:p>
    <w:p w14:paraId="5BECA3B2" w14:textId="77777777" w:rsidR="00B00CBE" w:rsidRDefault="00A20953" w:rsidP="00B00CBE">
      <w:pPr>
        <w:spacing w:after="0"/>
        <w:jc w:val="both"/>
        <w:rPr>
          <w:rFonts w:ascii="Arial" w:hAnsi="Arial" w:cs="Arial"/>
          <w:b/>
        </w:rPr>
      </w:pPr>
      <w:r w:rsidRPr="00A20953">
        <w:rPr>
          <w:rFonts w:ascii="Arial" w:hAnsi="Arial" w:cs="Arial"/>
          <w:b/>
        </w:rPr>
        <w:t xml:space="preserve">Consideraciones técnicas </w:t>
      </w:r>
    </w:p>
    <w:p w14:paraId="2050C333" w14:textId="77777777" w:rsidR="00A20953" w:rsidRPr="00A20953" w:rsidRDefault="00A20953" w:rsidP="00B00CBE">
      <w:pPr>
        <w:spacing w:after="0"/>
        <w:jc w:val="both"/>
        <w:rPr>
          <w:rFonts w:ascii="Arial" w:hAnsi="Arial" w:cs="Arial"/>
          <w:b/>
        </w:rPr>
      </w:pPr>
    </w:p>
    <w:p w14:paraId="555D45B5" w14:textId="77777777" w:rsidR="00B00CBE" w:rsidRDefault="00B00CBE" w:rsidP="00A2095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20953">
        <w:rPr>
          <w:rFonts w:ascii="Arial" w:hAnsi="Arial" w:cs="Arial"/>
        </w:rPr>
        <w:t xml:space="preserve">El ERRA delegara la autoridad y responsabilidad a diferentes grupos de responsables para recolectar, </w:t>
      </w:r>
      <w:r w:rsidR="00A20953" w:rsidRPr="00A20953">
        <w:rPr>
          <w:rFonts w:ascii="Arial" w:hAnsi="Arial" w:cs="Arial"/>
        </w:rPr>
        <w:t xml:space="preserve">realizar </w:t>
      </w:r>
      <w:r w:rsidRPr="00A20953">
        <w:rPr>
          <w:rFonts w:ascii="Arial" w:hAnsi="Arial" w:cs="Arial"/>
        </w:rPr>
        <w:t xml:space="preserve"> control de calidad, consolidar y analizar todos los datos solicitados; estos delegados deben limpiar la información diariamente, evitar perdida de datos y utilizar códigos estándares para todas las variables a ser introducidas en la base. Estas personas alertaran sobre los datos incompletos encontrados en las fichas epidemiológicas o en los otros registros (dosis aplicadas por edad, censos de contactos, casos detectados en BAI, BAC y BAL, </w:t>
      </w:r>
      <w:proofErr w:type="spellStart"/>
      <w:r w:rsidRPr="00A20953">
        <w:rPr>
          <w:rFonts w:ascii="Arial" w:hAnsi="Arial" w:cs="Arial"/>
        </w:rPr>
        <w:t>etc</w:t>
      </w:r>
      <w:proofErr w:type="spellEnd"/>
      <w:r w:rsidRPr="00A20953">
        <w:rPr>
          <w:rFonts w:ascii="Arial" w:hAnsi="Arial" w:cs="Arial"/>
        </w:rPr>
        <w:t xml:space="preserve">),  solicitando la información a los responsables de la investigación en terreno de dichos casos. </w:t>
      </w:r>
    </w:p>
    <w:p w14:paraId="764803D9" w14:textId="77777777" w:rsidR="00B00CBE" w:rsidRDefault="00B00CBE" w:rsidP="00B00CB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20953">
        <w:rPr>
          <w:rFonts w:ascii="Arial" w:hAnsi="Arial" w:cs="Arial"/>
        </w:rPr>
        <w:t>Los datos de la caracterización del brote deben ser presentados adecuadamente en paneles de la sala de situación, utilizando las figuras, tablas, Gráficas, mapas o fotos necesarias para la documentación de las mismas.</w:t>
      </w:r>
    </w:p>
    <w:p w14:paraId="43C88688" w14:textId="77777777" w:rsidR="00A20953" w:rsidRDefault="00B00CBE" w:rsidP="00B00CB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20953">
        <w:rPr>
          <w:rFonts w:ascii="Arial" w:hAnsi="Arial" w:cs="Arial"/>
        </w:rPr>
        <w:t xml:space="preserve">Se elaborarán </w:t>
      </w:r>
      <w:r w:rsidR="00A20953" w:rsidRPr="00A20953">
        <w:rPr>
          <w:rFonts w:ascii="Arial" w:hAnsi="Arial" w:cs="Arial"/>
        </w:rPr>
        <w:t>mapas para señalar</w:t>
      </w:r>
      <w:r w:rsidRPr="00A20953">
        <w:rPr>
          <w:rFonts w:ascii="Arial" w:hAnsi="Arial" w:cs="Arial"/>
        </w:rPr>
        <w:t xml:space="preserve"> los patrones epidemiológicos, como la ruta de desplazamiento del virus, de acuerdo al lugar donde </w:t>
      </w:r>
      <w:bookmarkStart w:id="0" w:name="PAHOMTS0000321E"/>
      <w:bookmarkStart w:id="1" w:name="PAHOMTS0000322B"/>
      <w:bookmarkEnd w:id="0"/>
      <w:bookmarkEnd w:id="1"/>
      <w:r w:rsidRPr="00A20953">
        <w:rPr>
          <w:rFonts w:ascii="Arial" w:hAnsi="Arial" w:cs="Arial"/>
        </w:rPr>
        <w:t>viven los casos o d</w:t>
      </w:r>
      <w:bookmarkStart w:id="2" w:name="PAHOMTS0000322E"/>
      <w:bookmarkStart w:id="3" w:name="PAHOMTS0000323B"/>
      <w:bookmarkEnd w:id="2"/>
      <w:bookmarkEnd w:id="3"/>
      <w:r w:rsidRPr="00A20953">
        <w:rPr>
          <w:rFonts w:ascii="Arial" w:hAnsi="Arial" w:cs="Arial"/>
        </w:rPr>
        <w:t>ónde están las zonas o localidades más afectadas</w:t>
      </w:r>
      <w:bookmarkStart w:id="4" w:name="PAHOMTS0000323E"/>
      <w:bookmarkStart w:id="5" w:name="PAHOMTS0000324B"/>
      <w:bookmarkEnd w:id="4"/>
      <w:bookmarkEnd w:id="5"/>
      <w:r w:rsidRPr="00A20953">
        <w:rPr>
          <w:rFonts w:ascii="Arial" w:hAnsi="Arial" w:cs="Arial"/>
        </w:rPr>
        <w:t xml:space="preserve">. También se puede ubicar en el mapa, los lugares públicos donde ocurrió el mayor contagio de casos (por ejemplo, consultorios, hospitales, escuela, trabajo, transporte colectivo, iglesia, etc.). </w:t>
      </w:r>
    </w:p>
    <w:p w14:paraId="7EDDDC0E" w14:textId="77777777" w:rsidR="00B00CBE" w:rsidRPr="00A20953" w:rsidRDefault="00A20953" w:rsidP="00B00CB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00CBE" w:rsidRPr="00A20953">
        <w:rPr>
          <w:rFonts w:ascii="Arial" w:hAnsi="Arial" w:cs="Arial"/>
        </w:rPr>
        <w:t>razar las rutas de desplazamiento, lugares visitados y los medios de transporte utilizados por los casos confirmados y sospechosos, por región geográfica, con los cuales se puede visualizar mejor la propagación del virus en el área y la tendencia geográfica de dispersión.</w:t>
      </w:r>
      <w:r w:rsidR="00B00CBE" w:rsidRPr="00CD6929">
        <w:t xml:space="preserve"> </w:t>
      </w:r>
    </w:p>
    <w:p w14:paraId="204FFE52" w14:textId="77777777" w:rsidR="00A20953" w:rsidRPr="00A20953" w:rsidRDefault="00A20953" w:rsidP="00A2095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20953">
        <w:rPr>
          <w:rFonts w:ascii="Arial" w:hAnsi="Arial" w:cs="Arial"/>
        </w:rPr>
        <w:lastRenderedPageBreak/>
        <w:t xml:space="preserve">Los ERRAS deberán girar instrucciones para  incluir en la sala de situación  la información relacionada a los siguientes aspectos:  </w:t>
      </w:r>
    </w:p>
    <w:p w14:paraId="37DC65BC" w14:textId="77777777" w:rsidR="00A20953" w:rsidRPr="002268B9" w:rsidRDefault="00A20953" w:rsidP="002268B9">
      <w:pPr>
        <w:spacing w:after="0"/>
        <w:jc w:val="both"/>
        <w:rPr>
          <w:rFonts w:ascii="Arial" w:hAnsi="Arial" w:cs="Arial"/>
        </w:rPr>
      </w:pPr>
    </w:p>
    <w:p w14:paraId="1D379DE3" w14:textId="77777777" w:rsidR="00A20953" w:rsidRPr="0075584B" w:rsidRDefault="002268B9" w:rsidP="00A209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</w:t>
      </w:r>
      <w:r w:rsidRPr="0075584B">
        <w:rPr>
          <w:rFonts w:ascii="Arial" w:hAnsi="Arial" w:cs="Arial"/>
          <w:b/>
        </w:rPr>
        <w:t>ntecedentes</w:t>
      </w:r>
      <w:r w:rsidR="00A20953" w:rsidRPr="0075584B">
        <w:rPr>
          <w:rFonts w:ascii="Arial" w:hAnsi="Arial" w:cs="Arial"/>
          <w:b/>
        </w:rPr>
        <w:t xml:space="preserve">: </w:t>
      </w:r>
    </w:p>
    <w:p w14:paraId="79B0D6F7" w14:textId="77777777" w:rsidR="00A20953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0D7C5F">
        <w:rPr>
          <w:rFonts w:ascii="Arial" w:hAnsi="Arial" w:cs="Arial"/>
        </w:rPr>
        <w:t>Antecedentes geográficos y socioeconómicos de</w:t>
      </w:r>
      <w:r>
        <w:rPr>
          <w:rFonts w:ascii="Arial" w:hAnsi="Arial" w:cs="Arial"/>
        </w:rPr>
        <w:t xml:space="preserve"> la provincia en general y en </w:t>
      </w:r>
      <w:r w:rsidRPr="000D7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particular de las regiones s, municipios y localidades afectadas</w:t>
      </w:r>
      <w:r w:rsidRPr="000D7C5F">
        <w:rPr>
          <w:rFonts w:ascii="Arial" w:hAnsi="Arial" w:cs="Arial"/>
        </w:rPr>
        <w:t xml:space="preserve"> por el brote en el contexto del país y con otros países (si est</w:t>
      </w:r>
      <w:r>
        <w:rPr>
          <w:rFonts w:ascii="Arial" w:hAnsi="Arial" w:cs="Arial"/>
        </w:rPr>
        <w:t xml:space="preserve">á en frontera con otros países), </w:t>
      </w:r>
    </w:p>
    <w:p w14:paraId="1033C934" w14:textId="77777777" w:rsidR="00A20953" w:rsidRPr="00966B5A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01F4A">
        <w:rPr>
          <w:rFonts w:ascii="Arial" w:hAnsi="Arial" w:cs="Arial"/>
          <w:lang w:val="es-ES_tradnl"/>
        </w:rPr>
        <w:t xml:space="preserve">Situación mundial </w:t>
      </w:r>
      <w:r>
        <w:rPr>
          <w:rFonts w:ascii="Arial" w:hAnsi="Arial" w:cs="Arial"/>
          <w:lang w:val="es-ES_tradnl"/>
        </w:rPr>
        <w:t xml:space="preserve"> y  en las Américas del sarampión en contexto de la sostenibilidad de la eliminación   de la circulación del virus endémico </w:t>
      </w:r>
      <w:r w:rsidRPr="00E01F4A">
        <w:rPr>
          <w:rFonts w:ascii="Arial" w:hAnsi="Arial" w:cs="Arial"/>
          <w:lang w:val="es-ES_tradnl"/>
        </w:rPr>
        <w:t xml:space="preserve">del sarampión, </w:t>
      </w:r>
    </w:p>
    <w:p w14:paraId="2DBA92F4" w14:textId="77777777" w:rsidR="00EC10C4" w:rsidRPr="00EC10C4" w:rsidRDefault="00A20953" w:rsidP="00EC10C4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Situación actual del sarampión</w:t>
      </w:r>
      <w:r w:rsidRPr="000D7C5F">
        <w:rPr>
          <w:rFonts w:ascii="Arial" w:hAnsi="Arial" w:cs="Arial"/>
        </w:rPr>
        <w:t xml:space="preserve"> en el país</w:t>
      </w:r>
      <w:r>
        <w:rPr>
          <w:rFonts w:ascii="Arial" w:hAnsi="Arial" w:cs="Arial"/>
        </w:rPr>
        <w:t>, provincia y regiones, probable</w:t>
      </w:r>
      <w:r w:rsidRPr="000D7C5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fuente de </w:t>
      </w:r>
      <w:r w:rsidRPr="000D7C5F">
        <w:rPr>
          <w:rFonts w:ascii="Arial" w:hAnsi="Arial" w:cs="Arial"/>
        </w:rPr>
        <w:t>origen de importación. Incluir genotipo si es posible,</w:t>
      </w:r>
    </w:p>
    <w:p w14:paraId="69A463EB" w14:textId="77777777" w:rsidR="00EC10C4" w:rsidRPr="00EC10C4" w:rsidRDefault="00EC10C4" w:rsidP="00EC10C4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10C4">
        <w:rPr>
          <w:rFonts w:ascii="Arial" w:hAnsi="Arial" w:cs="Arial"/>
        </w:rPr>
        <w:t>nálisis de riesgo de desimanación del virus del  SR  y clasificación de localidades de riesgo para la importación de los virus de Sarampión y la</w:t>
      </w:r>
    </w:p>
    <w:p w14:paraId="629A20EF" w14:textId="77777777" w:rsidR="00EC10C4" w:rsidRPr="00EC10C4" w:rsidRDefault="00EC10C4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C10C4">
        <w:rPr>
          <w:rFonts w:ascii="Arial" w:hAnsi="Arial" w:cs="Arial"/>
          <w:lang w:val="es-ES_tradnl"/>
        </w:rPr>
        <w:t>Análisis de riesgo, por acúmulo de susceptibles y áreas silenciosas entre otro</w:t>
      </w:r>
      <w:r>
        <w:rPr>
          <w:rFonts w:ascii="Arial" w:hAnsi="Arial" w:cs="Arial"/>
          <w:lang w:val="es-ES_tradnl"/>
        </w:rPr>
        <w:t>s</w:t>
      </w:r>
    </w:p>
    <w:p w14:paraId="4DEE669C" w14:textId="77777777" w:rsidR="00EC10C4" w:rsidRPr="000D7C5F" w:rsidRDefault="00EC10C4" w:rsidP="00EC10C4">
      <w:pPr>
        <w:pStyle w:val="Prrafodelista"/>
        <w:tabs>
          <w:tab w:val="left" w:pos="1418"/>
        </w:tabs>
        <w:spacing w:after="0"/>
        <w:jc w:val="both"/>
        <w:rPr>
          <w:rFonts w:ascii="Arial" w:hAnsi="Arial" w:cs="Arial"/>
        </w:rPr>
      </w:pPr>
    </w:p>
    <w:p w14:paraId="4DE35D31" w14:textId="77777777" w:rsidR="00A20953" w:rsidRPr="00EC10C4" w:rsidRDefault="00A20953" w:rsidP="00EC10C4">
      <w:pPr>
        <w:jc w:val="both"/>
        <w:rPr>
          <w:rFonts w:ascii="Arial" w:hAnsi="Arial" w:cs="Arial"/>
          <w:b/>
        </w:rPr>
      </w:pPr>
      <w:r w:rsidRPr="00EC10C4">
        <w:rPr>
          <w:rFonts w:ascii="Arial" w:hAnsi="Arial" w:cs="Arial"/>
          <w:b/>
        </w:rPr>
        <w:t>Metodología:</w:t>
      </w:r>
    </w:p>
    <w:p w14:paraId="267AF792" w14:textId="77777777" w:rsidR="00A20953" w:rsidRPr="00E974B0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Tipo de estudio realizado (descriptivo o analítico), duración, criterios de inclusión,</w:t>
      </w:r>
    </w:p>
    <w:p w14:paraId="56785C8D" w14:textId="77777777" w:rsidR="00A20953" w:rsidRPr="00E974B0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Instrumentos y metodología utilizada,</w:t>
      </w:r>
    </w:p>
    <w:p w14:paraId="6283761F" w14:textId="77777777" w:rsidR="00A20953" w:rsidRPr="00E974B0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 xml:space="preserve">Objetivos </w:t>
      </w:r>
      <w:r w:rsidR="00EC10C4">
        <w:rPr>
          <w:rFonts w:ascii="Arial" w:hAnsi="Arial" w:cs="Arial"/>
        </w:rPr>
        <w:t xml:space="preserve"> metodología </w:t>
      </w:r>
      <w:r w:rsidRPr="00E974B0">
        <w:rPr>
          <w:rFonts w:ascii="Arial" w:hAnsi="Arial" w:cs="Arial"/>
        </w:rPr>
        <w:t>del estudio,</w:t>
      </w:r>
    </w:p>
    <w:p w14:paraId="6857687D" w14:textId="77777777" w:rsidR="00A20953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Conformación de ERRA.</w:t>
      </w:r>
    </w:p>
    <w:p w14:paraId="7C506C75" w14:textId="77777777" w:rsidR="00A20953" w:rsidRPr="00966B5A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966B5A">
        <w:rPr>
          <w:rFonts w:ascii="Arial" w:hAnsi="Arial" w:cs="Arial"/>
          <w:lang w:val="es-ES_tradnl"/>
        </w:rPr>
        <w:t>Definiciones operativas de caso a utilizadas,</w:t>
      </w:r>
    </w:p>
    <w:p w14:paraId="345DB7AB" w14:textId="77777777" w:rsidR="00A20953" w:rsidRPr="00966B5A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966B5A">
        <w:rPr>
          <w:rFonts w:ascii="Arial" w:hAnsi="Arial" w:cs="Arial"/>
          <w:lang w:val="es-ES_tradnl"/>
        </w:rPr>
        <w:t xml:space="preserve"> Flujo grama  del proceso de detección y notificación de casos, </w:t>
      </w:r>
    </w:p>
    <w:p w14:paraId="0A5BFC02" w14:textId="77777777" w:rsidR="00A20953" w:rsidRPr="00966B5A" w:rsidRDefault="00A20953" w:rsidP="00A20953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C10C4">
        <w:rPr>
          <w:rFonts w:ascii="Arial" w:hAnsi="Arial" w:cs="Arial"/>
          <w:lang w:val="es-ES_tradnl"/>
        </w:rPr>
        <w:t>espuesta</w:t>
      </w:r>
      <w:r>
        <w:rPr>
          <w:rFonts w:ascii="Arial" w:hAnsi="Arial" w:cs="Arial"/>
          <w:lang w:val="es-ES_tradnl"/>
        </w:rPr>
        <w:t xml:space="preserve"> rápida para el manejo e investigación de  casos sospechosos / confirmados</w:t>
      </w:r>
    </w:p>
    <w:p w14:paraId="05DF86E3" w14:textId="77777777" w:rsidR="00A20953" w:rsidRPr="00EC10C4" w:rsidRDefault="00A20953" w:rsidP="00A2095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 </w:t>
      </w:r>
      <w:r w:rsidRPr="00966B5A">
        <w:rPr>
          <w:rFonts w:ascii="Arial" w:hAnsi="Arial" w:cs="Arial"/>
          <w:lang w:val="es-ES_tradnl"/>
        </w:rPr>
        <w:t>Clasificación de casos,</w:t>
      </w:r>
    </w:p>
    <w:p w14:paraId="6B4661BE" w14:textId="77777777" w:rsidR="00EC10C4" w:rsidRPr="00EC10C4" w:rsidRDefault="00EC10C4" w:rsidP="00A2095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Búsqueda activa institucional, comunitaria y de laboratorio</w:t>
      </w:r>
    </w:p>
    <w:p w14:paraId="0620A778" w14:textId="77777777" w:rsidR="00EC10C4" w:rsidRPr="00EC10C4" w:rsidRDefault="00EC10C4" w:rsidP="00A2095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Medidas de control de vacunacion establecidas (bloqueo, intensificación, campaña de seguimiento), edades establecidas</w:t>
      </w:r>
    </w:p>
    <w:p w14:paraId="2DC55A5F" w14:textId="77777777" w:rsidR="00EC10C4" w:rsidRPr="00EC10C4" w:rsidRDefault="00EC10C4" w:rsidP="00EC10C4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C10C4">
        <w:rPr>
          <w:rFonts w:ascii="LegacySanITC-Medi" w:hAnsi="LegacySanITC-Medi" w:cs="LegacySanITC-Medi"/>
          <w:sz w:val="23"/>
          <w:szCs w:val="23"/>
          <w:lang w:val="es-ES_tradnl"/>
        </w:rPr>
        <w:t>Indicadores de la calidad de la vigilancia,</w:t>
      </w:r>
    </w:p>
    <w:p w14:paraId="0728B5B3" w14:textId="77777777" w:rsidR="00EC10C4" w:rsidRPr="00EC10C4" w:rsidRDefault="00EC10C4" w:rsidP="00EC10C4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C10C4">
        <w:rPr>
          <w:rFonts w:ascii="LegacySanITC-Medi" w:hAnsi="LegacySanITC-Medi" w:cs="LegacySanITC-Medi"/>
          <w:sz w:val="23"/>
          <w:szCs w:val="23"/>
          <w:lang w:val="es-ES_tradnl"/>
        </w:rPr>
        <w:t xml:space="preserve"> </w:t>
      </w:r>
      <w:r w:rsidRPr="00EC10C4">
        <w:rPr>
          <w:rFonts w:ascii="Arial" w:hAnsi="Arial" w:cs="Arial"/>
          <w:lang w:val="es-ES_tradnl"/>
        </w:rPr>
        <w:t xml:space="preserve">Caracterización de los casos importados, </w:t>
      </w:r>
    </w:p>
    <w:p w14:paraId="3FCF3692" w14:textId="77777777" w:rsidR="00EC10C4" w:rsidRPr="00EC10C4" w:rsidRDefault="00EC10C4" w:rsidP="00EC10C4">
      <w:pPr>
        <w:pStyle w:val="Prrafodelista"/>
        <w:numPr>
          <w:ilvl w:val="0"/>
          <w:numId w:val="9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C10C4">
        <w:rPr>
          <w:rFonts w:ascii="Arial" w:hAnsi="Arial" w:cs="Arial"/>
          <w:lang w:val="es-ES_tradnl"/>
        </w:rPr>
        <w:t xml:space="preserve">Formularios para visita domiciliaria e investigación de contactos, </w:t>
      </w:r>
    </w:p>
    <w:p w14:paraId="0B6D4EC4" w14:textId="77777777" w:rsidR="00EC10C4" w:rsidRPr="00A20953" w:rsidRDefault="00EC10C4" w:rsidP="00EC10C4">
      <w:pPr>
        <w:pStyle w:val="Prrafodelista"/>
        <w:spacing w:after="0"/>
        <w:jc w:val="both"/>
        <w:rPr>
          <w:rFonts w:ascii="Arial" w:hAnsi="Arial" w:cs="Arial"/>
        </w:rPr>
      </w:pPr>
    </w:p>
    <w:p w14:paraId="7B7372DE" w14:textId="77777777" w:rsidR="0070085E" w:rsidRDefault="0070085E" w:rsidP="00EC10C4">
      <w:pPr>
        <w:jc w:val="both"/>
        <w:rPr>
          <w:rFonts w:ascii="Arial" w:hAnsi="Arial" w:cs="Arial"/>
          <w:b/>
        </w:rPr>
      </w:pPr>
    </w:p>
    <w:p w14:paraId="170A9B4C" w14:textId="77777777" w:rsidR="00A20953" w:rsidRPr="00EC10C4" w:rsidRDefault="00A20953" w:rsidP="00EC10C4">
      <w:pPr>
        <w:jc w:val="both"/>
        <w:rPr>
          <w:rFonts w:ascii="Arial" w:hAnsi="Arial" w:cs="Arial"/>
          <w:b/>
        </w:rPr>
      </w:pPr>
      <w:r w:rsidRPr="00EC10C4">
        <w:rPr>
          <w:rFonts w:ascii="Arial" w:hAnsi="Arial" w:cs="Arial"/>
          <w:b/>
        </w:rPr>
        <w:t>Resultados:</w:t>
      </w:r>
    </w:p>
    <w:p w14:paraId="0CF474C6" w14:textId="77777777" w:rsidR="00A20953" w:rsidRPr="00E974B0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Magnitud y gravedad del brote,</w:t>
      </w:r>
    </w:p>
    <w:p w14:paraId="19309252" w14:textId="77777777" w:rsidR="00A20953" w:rsidRPr="00E974B0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 xml:space="preserve">Descripción en  persona, tiempo y  lugar, </w:t>
      </w:r>
    </w:p>
    <w:p w14:paraId="776A04B7" w14:textId="77777777" w:rsidR="00A20953" w:rsidRPr="00E974B0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Curva epidémica,</w:t>
      </w:r>
      <w:r>
        <w:rPr>
          <w:rFonts w:ascii="Arial" w:hAnsi="Arial" w:cs="Arial"/>
        </w:rPr>
        <w:t xml:space="preserve"> gráficos según grupos de edad, estado vacunal entre otros  </w:t>
      </w:r>
    </w:p>
    <w:p w14:paraId="3943D1C6" w14:textId="77777777" w:rsidR="00A20953" w:rsidRPr="00E974B0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Datos clínicos de los casos (tabla y distribución porcentual de cada signo o síntoma),</w:t>
      </w:r>
    </w:p>
    <w:p w14:paraId="79D364FB" w14:textId="77777777" w:rsidR="00A20953" w:rsidRPr="00E974B0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Hipótesis sobre el país de origen y propagación del brote,</w:t>
      </w:r>
    </w:p>
    <w:p w14:paraId="3DD5D909" w14:textId="77777777" w:rsidR="00A20953" w:rsidRDefault="00A20953" w:rsidP="00A20953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Medidas de control.</w:t>
      </w:r>
    </w:p>
    <w:p w14:paraId="4FF3FED1" w14:textId="77777777" w:rsidR="00EC10C4" w:rsidRPr="00E974B0" w:rsidRDefault="00EC10C4" w:rsidP="00EC10C4">
      <w:pPr>
        <w:pStyle w:val="Prrafodelista"/>
        <w:tabs>
          <w:tab w:val="left" w:pos="1418"/>
        </w:tabs>
        <w:spacing w:after="0"/>
        <w:ind w:left="1003"/>
        <w:jc w:val="both"/>
        <w:rPr>
          <w:rFonts w:ascii="Arial" w:hAnsi="Arial" w:cs="Arial"/>
        </w:rPr>
      </w:pPr>
    </w:p>
    <w:p w14:paraId="5E837BE1" w14:textId="77777777" w:rsidR="00EC10C4" w:rsidRDefault="00B00CBE" w:rsidP="00A2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básicos a ser presentados en la sala de situación son los mismos que se han recopilado para la caracterización del brote y otros datos adicionales. En resumen, se pueden clasificar los datos en seis paneles de información:</w:t>
      </w:r>
    </w:p>
    <w:p w14:paraId="75344C6A" w14:textId="77777777" w:rsidR="00126DBF" w:rsidRPr="00126DBF" w:rsidRDefault="00126DBF" w:rsidP="00A20953">
      <w:pPr>
        <w:jc w:val="both"/>
        <w:rPr>
          <w:rFonts w:ascii="Arial" w:hAnsi="Arial" w:cs="Arial"/>
          <w:b/>
        </w:rPr>
      </w:pPr>
      <w:r w:rsidRPr="00126DBF">
        <w:rPr>
          <w:rFonts w:ascii="Arial" w:hAnsi="Arial" w:cs="Arial"/>
          <w:b/>
        </w:rPr>
        <w:lastRenderedPageBreak/>
        <w:t xml:space="preserve">Paneles de información </w:t>
      </w:r>
    </w:p>
    <w:p w14:paraId="72646B00" w14:textId="77777777" w:rsidR="00B00CBE" w:rsidRPr="00EC10C4" w:rsidRDefault="00B00CBE" w:rsidP="00EC10C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EC10C4">
        <w:rPr>
          <w:rFonts w:ascii="Arial" w:hAnsi="Arial" w:cs="Arial"/>
          <w:b/>
        </w:rPr>
        <w:t>Datos de los casos de sarampión o rubéola:</w:t>
      </w:r>
    </w:p>
    <w:p w14:paraId="1169DFCE" w14:textId="77777777" w:rsidR="00B00CBE" w:rsidRPr="00D43010" w:rsidRDefault="00B00CBE" w:rsidP="00B00CBE">
      <w:pPr>
        <w:pStyle w:val="Prrafodelista"/>
        <w:jc w:val="both"/>
        <w:rPr>
          <w:rFonts w:ascii="Arial" w:hAnsi="Arial" w:cs="Arial"/>
        </w:rPr>
      </w:pPr>
    </w:p>
    <w:p w14:paraId="25BB9E9B" w14:textId="77777777" w:rsidR="00B00CBE" w:rsidRDefault="00B00CBE" w:rsidP="00B841F7">
      <w:pPr>
        <w:pStyle w:val="Prrafodelista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E974B0">
        <w:rPr>
          <w:rFonts w:ascii="Arial" w:hAnsi="Arial" w:cs="Arial"/>
        </w:rPr>
        <w:t>Hipótesis sobre el país de origen y propagación del brote</w:t>
      </w:r>
      <w:r>
        <w:rPr>
          <w:rFonts w:ascii="Arial" w:hAnsi="Arial" w:cs="Arial"/>
        </w:rPr>
        <w:t xml:space="preserve">, según antecedente de viaje y/o identificación del genotipo; </w:t>
      </w:r>
    </w:p>
    <w:p w14:paraId="29C05FB3" w14:textId="77777777" w:rsidR="00B00CBE" w:rsidRDefault="00B00CBE" w:rsidP="00B841F7">
      <w:pPr>
        <w:pStyle w:val="Prrafodelista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brote: caso aislado, comunitario, en población cautiva (delimitado en un grupo escolar, religioso, militar, privados de libertad, etc.);</w:t>
      </w:r>
    </w:p>
    <w:p w14:paraId="54242321" w14:textId="77777777" w:rsidR="00B00CBE" w:rsidRDefault="00B00CBE" w:rsidP="00B841F7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demográficos y geográficos del lugar donde ocurre el brote;</w:t>
      </w:r>
    </w:p>
    <w:p w14:paraId="09647F4F" w14:textId="77777777" w:rsidR="00B00CBE" w:rsidRPr="000D7C5F" w:rsidRDefault="00B00CBE" w:rsidP="00B841F7">
      <w:pPr>
        <w:pStyle w:val="Prrafodelista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Mapa del país y del estado, departamento, provincia donde ocurre el brote;</w:t>
      </w:r>
    </w:p>
    <w:p w14:paraId="6F74B6C3" w14:textId="77777777" w:rsidR="00B00CBE" w:rsidRDefault="00B00CBE" w:rsidP="00B841F7">
      <w:pPr>
        <w:pStyle w:val="Prrafodelista"/>
        <w:numPr>
          <w:ilvl w:val="0"/>
          <w:numId w:val="12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756E67">
        <w:rPr>
          <w:rFonts w:ascii="Arial" w:hAnsi="Arial" w:cs="Arial"/>
        </w:rPr>
        <w:t>Caracterización de los casos</w:t>
      </w:r>
      <w:r>
        <w:rPr>
          <w:rFonts w:ascii="Arial" w:hAnsi="Arial" w:cs="Arial"/>
        </w:rPr>
        <w:t>:</w:t>
      </w:r>
      <w:r w:rsidRPr="00756E67">
        <w:rPr>
          <w:rFonts w:ascii="Arial" w:hAnsi="Arial" w:cs="Arial"/>
        </w:rPr>
        <w:t xml:space="preserve"> sospechosos, confirmados, descartados y en investigación según</w:t>
      </w:r>
      <w:r>
        <w:rPr>
          <w:rFonts w:ascii="Arial" w:hAnsi="Arial" w:cs="Arial"/>
        </w:rPr>
        <w:t>:</w:t>
      </w:r>
    </w:p>
    <w:p w14:paraId="6B945877" w14:textId="77777777" w:rsidR="00B00CBE" w:rsidRDefault="00B00CBE" w:rsidP="00B00CBE">
      <w:pPr>
        <w:pStyle w:val="Prrafodelista"/>
        <w:numPr>
          <w:ilvl w:val="1"/>
          <w:numId w:val="4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756E67">
        <w:rPr>
          <w:rFonts w:ascii="Arial" w:hAnsi="Arial" w:cs="Arial"/>
        </w:rPr>
        <w:t>persona</w:t>
      </w:r>
      <w:r>
        <w:rPr>
          <w:rFonts w:ascii="Arial" w:hAnsi="Arial" w:cs="Arial"/>
        </w:rPr>
        <w:t xml:space="preserve">: edad, sexo, estado vacunal, tipo de clasificación por laboratorio, nexo epidemiológico o criterio clínico; </w:t>
      </w:r>
    </w:p>
    <w:p w14:paraId="3512B05D" w14:textId="77777777" w:rsidR="00B00CBE" w:rsidRDefault="00B00CBE" w:rsidP="00B00CBE">
      <w:pPr>
        <w:pStyle w:val="Prrafodelista"/>
        <w:numPr>
          <w:ilvl w:val="1"/>
          <w:numId w:val="4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756E67">
        <w:rPr>
          <w:rFonts w:ascii="Arial" w:hAnsi="Arial" w:cs="Arial"/>
        </w:rPr>
        <w:t xml:space="preserve">tiempo </w:t>
      </w:r>
      <w:r>
        <w:rPr>
          <w:rFonts w:ascii="Arial" w:hAnsi="Arial" w:cs="Arial"/>
        </w:rPr>
        <w:t xml:space="preserve">(por semana epidemiológica) </w:t>
      </w:r>
      <w:r w:rsidRPr="00756E67">
        <w:rPr>
          <w:rFonts w:ascii="Arial" w:hAnsi="Arial" w:cs="Arial"/>
        </w:rPr>
        <w:t xml:space="preserve">y  </w:t>
      </w:r>
    </w:p>
    <w:p w14:paraId="29049F40" w14:textId="77777777" w:rsidR="00B00CBE" w:rsidRDefault="00B00CBE" w:rsidP="00B00CBE">
      <w:pPr>
        <w:pStyle w:val="Prrafodelista"/>
        <w:numPr>
          <w:ilvl w:val="1"/>
          <w:numId w:val="4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 w:rsidRPr="00756E67">
        <w:rPr>
          <w:rFonts w:ascii="Arial" w:hAnsi="Arial" w:cs="Arial"/>
        </w:rPr>
        <w:t>lugar</w:t>
      </w:r>
      <w:r>
        <w:rPr>
          <w:rFonts w:ascii="Arial" w:hAnsi="Arial" w:cs="Arial"/>
        </w:rPr>
        <w:t xml:space="preserve"> (por sector geográfico, municipio, nivel sub nacional).</w:t>
      </w:r>
    </w:p>
    <w:p w14:paraId="315E2E52" w14:textId="77777777" w:rsidR="00B00CBE" w:rsidRPr="00756E67" w:rsidRDefault="00B00CBE" w:rsidP="00B841F7">
      <w:pPr>
        <w:pStyle w:val="Prrafodelista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56E67">
        <w:rPr>
          <w:rFonts w:ascii="Arial" w:hAnsi="Arial" w:cs="Arial"/>
        </w:rPr>
        <w:t>urva epidémica de los casos confirmados</w:t>
      </w:r>
      <w:r>
        <w:rPr>
          <w:rFonts w:ascii="Arial" w:hAnsi="Arial" w:cs="Arial"/>
        </w:rPr>
        <w:t>, sospechosos y descartados por semana epidemiológica;</w:t>
      </w:r>
    </w:p>
    <w:p w14:paraId="0523D1FD" w14:textId="77777777" w:rsidR="00B00CBE" w:rsidRDefault="00B00CBE" w:rsidP="00B841F7">
      <w:pPr>
        <w:pStyle w:val="Prrafodelista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Gráfica de</w:t>
      </w:r>
      <w:r w:rsidRPr="00756E67">
        <w:rPr>
          <w:rFonts w:ascii="Arial" w:hAnsi="Arial" w:cs="Arial"/>
        </w:rPr>
        <w:t xml:space="preserve"> los casos confirmados</w:t>
      </w:r>
      <w:r>
        <w:rPr>
          <w:rFonts w:ascii="Arial" w:hAnsi="Arial" w:cs="Arial"/>
        </w:rPr>
        <w:t xml:space="preserve"> por tasas de incidencia y proporción de casos por los siguientes grupos de edad: &lt; 1 año ( se puede dividir en &lt; 6 meses y 6-11 meses), 1 año, 2-4 años, 5-9 años, 10-14 años, 15-19 años, 20-29 años, 30-39 y 40 y más;</w:t>
      </w:r>
    </w:p>
    <w:p w14:paraId="4A3B945A" w14:textId="77777777" w:rsidR="00B00CBE" w:rsidRDefault="00B00CBE" w:rsidP="00B841F7">
      <w:pPr>
        <w:pStyle w:val="Prrafodelista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Gráfica de porcentajes de casos con complicaciones  por los siguientes grupos de edad: &lt; 1 año ( es importante dividirlo en &lt; 6 meses y 6-11 meses), 1 año, 2-4 años, 5-9 años, 10-14 años, 15-19 años, 20-29 años, 30-39 y 40 y más;</w:t>
      </w:r>
    </w:p>
    <w:p w14:paraId="6AB7186F" w14:textId="77777777" w:rsidR="00B00CBE" w:rsidRDefault="00B00CBE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Caracterización de la</w:t>
      </w:r>
      <w:r w:rsidRPr="0075584B">
        <w:rPr>
          <w:rFonts w:ascii="Arial" w:hAnsi="Arial" w:cs="Arial"/>
        </w:rPr>
        <w:t xml:space="preserve"> mortalidad</w:t>
      </w:r>
      <w:r>
        <w:rPr>
          <w:rFonts w:ascii="Arial" w:hAnsi="Arial" w:cs="Arial"/>
        </w:rPr>
        <w:t xml:space="preserve"> según tasa de letalidad general y por grupos de edad;</w:t>
      </w:r>
      <w:r w:rsidRPr="00755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tasa de mortalidad por grupos de edad.</w:t>
      </w:r>
    </w:p>
    <w:p w14:paraId="0D314F11" w14:textId="77777777" w:rsidR="004D1BC2" w:rsidRPr="004D1BC2" w:rsidRDefault="004D1BC2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7C6E15">
        <w:rPr>
          <w:rFonts w:ascii="Arial" w:hAnsi="Arial" w:cs="Arial"/>
          <w:lang w:val="es-ES_tradnl"/>
        </w:rPr>
        <w:t>Distribución de diagnósticos f</w:t>
      </w:r>
      <w:r>
        <w:rPr>
          <w:rFonts w:ascii="Arial" w:hAnsi="Arial" w:cs="Arial"/>
          <w:lang w:val="es-ES_tradnl"/>
        </w:rPr>
        <w:t>inales de los casos descartados</w:t>
      </w:r>
    </w:p>
    <w:p w14:paraId="37B2F281" w14:textId="77777777" w:rsidR="004D1BC2" w:rsidRPr="004D1BC2" w:rsidRDefault="004D1BC2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D1BC2">
        <w:rPr>
          <w:rFonts w:ascii="Arial" w:hAnsi="Arial" w:cs="Arial"/>
          <w:lang w:val="es-ES_tradnl"/>
        </w:rPr>
        <w:t>Listado de casos con datos de laboratorio.</w:t>
      </w:r>
    </w:p>
    <w:p w14:paraId="670E0299" w14:textId="77777777" w:rsidR="004D1BC2" w:rsidRPr="004D1BC2" w:rsidRDefault="004D1BC2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D1BC2">
        <w:rPr>
          <w:rFonts w:ascii="Arial" w:hAnsi="Arial" w:cs="Arial"/>
          <w:lang w:val="es-ES_tradnl"/>
        </w:rPr>
        <w:t>Uso de mapas/croquis para definir ubicación de caso índice y contactos para trazar áreas de intervención con intensificación de vacunación, búsqueda activa, MRV, para adelantarse a la posible llegada del virus, en las zonas de alto riesgo (silencio epidemiológico, bajas coberturas, turismo, alta migración en fronteras, poblaciones indígenas, etc.)</w:t>
      </w:r>
    </w:p>
    <w:p w14:paraId="1F868937" w14:textId="77777777" w:rsidR="004D1BC2" w:rsidRPr="004D1BC2" w:rsidRDefault="004D1BC2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7C6E15">
        <w:rPr>
          <w:rFonts w:ascii="Arial" w:hAnsi="Arial" w:cs="Arial"/>
          <w:lang w:val="es-ES_tradnl"/>
        </w:rPr>
        <w:t xml:space="preserve">Uso de mapas para trazar rutas de posible transmisión del virus con la presencia de casos sospechosos, </w:t>
      </w:r>
      <w:r>
        <w:rPr>
          <w:rFonts w:ascii="Arial" w:hAnsi="Arial" w:cs="Arial"/>
          <w:lang w:val="es-ES_tradnl"/>
        </w:rPr>
        <w:t xml:space="preserve"> en investigación y </w:t>
      </w:r>
      <w:r w:rsidRPr="007C6E15">
        <w:rPr>
          <w:rFonts w:ascii="Arial" w:hAnsi="Arial" w:cs="Arial"/>
          <w:lang w:val="es-ES_tradnl"/>
        </w:rPr>
        <w:t>confirmados</w:t>
      </w:r>
      <w:r>
        <w:rPr>
          <w:rFonts w:ascii="Arial" w:hAnsi="Arial" w:cs="Arial"/>
          <w:lang w:val="es-ES_tradnl"/>
        </w:rPr>
        <w:t>,</w:t>
      </w:r>
    </w:p>
    <w:p w14:paraId="074AD076" w14:textId="77777777" w:rsidR="004D1BC2" w:rsidRPr="004D1BC2" w:rsidRDefault="004D1BC2" w:rsidP="00B841F7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4D1BC2">
        <w:rPr>
          <w:rFonts w:ascii="Arial" w:hAnsi="Arial" w:cs="Arial"/>
          <w:lang w:val="es-ES_tradnl"/>
        </w:rPr>
        <w:t xml:space="preserve">Utilización si es  posible de mapas digitalizados para ubicar adecuadamente los casos </w:t>
      </w:r>
    </w:p>
    <w:p w14:paraId="5C2BEB4C" w14:textId="77777777" w:rsidR="00126DBF" w:rsidRPr="004D1BC2" w:rsidRDefault="00126DBF" w:rsidP="004D1BC2">
      <w:pPr>
        <w:spacing w:after="0"/>
        <w:jc w:val="both"/>
        <w:rPr>
          <w:rFonts w:ascii="Arial" w:hAnsi="Arial" w:cs="Arial"/>
        </w:rPr>
      </w:pPr>
    </w:p>
    <w:p w14:paraId="1BEEB7CD" w14:textId="77777777" w:rsidR="00B00CBE" w:rsidRDefault="00B00CBE" w:rsidP="00A20953">
      <w:pPr>
        <w:spacing w:after="0"/>
        <w:jc w:val="both"/>
        <w:rPr>
          <w:rFonts w:ascii="Arial" w:hAnsi="Arial" w:cs="Arial"/>
          <w:b/>
        </w:rPr>
      </w:pPr>
      <w:r w:rsidRPr="00A20953">
        <w:rPr>
          <w:rFonts w:ascii="Arial" w:hAnsi="Arial" w:cs="Arial"/>
          <w:b/>
        </w:rPr>
        <w:t>Datos de las medidas de vacunación</w:t>
      </w:r>
    </w:p>
    <w:p w14:paraId="300DEA3F" w14:textId="77777777" w:rsidR="00126DBF" w:rsidRPr="00A20953" w:rsidRDefault="00126DBF" w:rsidP="00A20953">
      <w:pPr>
        <w:spacing w:after="0"/>
        <w:jc w:val="both"/>
        <w:rPr>
          <w:rFonts w:ascii="Arial" w:hAnsi="Arial" w:cs="Arial"/>
          <w:b/>
        </w:rPr>
      </w:pPr>
    </w:p>
    <w:p w14:paraId="20E04443" w14:textId="77777777" w:rsidR="00B00CBE" w:rsidRDefault="00B00CBE" w:rsidP="00B841F7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Datos de coberturas de SRP1 y SRP 2 de los últimos 5 años del municipio; </w:t>
      </w:r>
    </w:p>
    <w:p w14:paraId="56A77BDB" w14:textId="77777777" w:rsidR="004D1BC2" w:rsidRDefault="004D1BC2" w:rsidP="00B841F7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C85A1B">
        <w:rPr>
          <w:rFonts w:ascii="Arial" w:hAnsi="Arial" w:cs="Arial"/>
          <w:lang w:val="es-ES_tradnl"/>
        </w:rPr>
        <w:t>Estrategias de vacunación a utilizar de acuerdo al caso (Listado de casos sospechosos, agregándole la fecha de inicio de bloqueo o barrido alrededor del caso</w:t>
      </w:r>
    </w:p>
    <w:p w14:paraId="72475F44" w14:textId="77777777" w:rsidR="004D1BC2" w:rsidRPr="004D1BC2" w:rsidRDefault="00B00CBE" w:rsidP="00B841F7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Croquis o mapas, con la ubicación geográfica de casos </w:t>
      </w:r>
      <w:r w:rsidRPr="0075584B">
        <w:rPr>
          <w:rFonts w:ascii="Arial" w:hAnsi="Arial" w:cs="Arial"/>
        </w:rPr>
        <w:t>confirmados, descartados y en investigación</w:t>
      </w:r>
      <w:r>
        <w:rPr>
          <w:rFonts w:ascii="Arial" w:hAnsi="Arial" w:cs="Arial"/>
        </w:rPr>
        <w:t xml:space="preserve"> y de las acciones de vacunación concomitantes con el brote en cada sector;</w:t>
      </w:r>
    </w:p>
    <w:p w14:paraId="371EA452" w14:textId="77777777" w:rsidR="00B00CBE" w:rsidRDefault="00B00CBE" w:rsidP="00B841F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Numero de dosis de vacuna aplicadas por grupos de edad y por sectores, municipios y nivel sub nacional por semana epidemiológica (SE);</w:t>
      </w:r>
      <w:r w:rsidRPr="0075584B">
        <w:rPr>
          <w:rFonts w:ascii="Arial" w:hAnsi="Arial" w:cs="Arial"/>
        </w:rPr>
        <w:t xml:space="preserve"> </w:t>
      </w:r>
    </w:p>
    <w:p w14:paraId="2D92B7EE" w14:textId="77777777" w:rsidR="00B00CBE" w:rsidRDefault="00B00CBE" w:rsidP="00B841F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Cumplimiento de meta programada, según grupos de edad y por sectores, municipios y nivel sub nacional por SE;</w:t>
      </w:r>
    </w:p>
    <w:p w14:paraId="70A6ECA4" w14:textId="77777777" w:rsidR="00EC10C4" w:rsidRDefault="00B00CBE" w:rsidP="00B841F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Proporción de Monitoreos Rápidos de Vacunación con 95% en los sectores vacunados durante el brote.</w:t>
      </w:r>
    </w:p>
    <w:p w14:paraId="4ED13ED9" w14:textId="77777777" w:rsidR="004D1BC2" w:rsidRPr="004D1BC2" w:rsidRDefault="004D1BC2" w:rsidP="00B841F7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4D1BC2">
        <w:rPr>
          <w:rFonts w:ascii="Arial" w:hAnsi="Arial" w:cs="Arial"/>
          <w:lang w:val="es-ES_tradnl"/>
        </w:rPr>
        <w:t>Metodología de Monitoreo Rápido de Vacunación  (MRV) y formularios,</w:t>
      </w:r>
      <w:r>
        <w:rPr>
          <w:rFonts w:ascii="Arial" w:hAnsi="Arial" w:cs="Arial"/>
          <w:lang w:val="es-ES_tradnl"/>
        </w:rPr>
        <w:t xml:space="preserve"> resultados , identificación de localidades de con bolsones de  población susceptibles </w:t>
      </w:r>
    </w:p>
    <w:p w14:paraId="4C64DAA1" w14:textId="77777777" w:rsidR="004D1BC2" w:rsidRPr="004D1BC2" w:rsidRDefault="004D1BC2" w:rsidP="004D1BC2">
      <w:pPr>
        <w:pStyle w:val="Prrafodelista"/>
        <w:spacing w:after="0"/>
        <w:jc w:val="both"/>
        <w:rPr>
          <w:rFonts w:ascii="Arial" w:hAnsi="Arial" w:cs="Arial"/>
        </w:rPr>
      </w:pPr>
    </w:p>
    <w:p w14:paraId="54243D7C" w14:textId="77777777" w:rsidR="00B00CBE" w:rsidRDefault="00B00CBE" w:rsidP="004D1BC2">
      <w:pPr>
        <w:spacing w:after="0"/>
        <w:jc w:val="both"/>
        <w:rPr>
          <w:rFonts w:ascii="Arial" w:hAnsi="Arial" w:cs="Arial"/>
          <w:b/>
        </w:rPr>
      </w:pPr>
      <w:r w:rsidRPr="004D1BC2">
        <w:rPr>
          <w:rFonts w:ascii="Arial" w:hAnsi="Arial" w:cs="Arial"/>
          <w:b/>
        </w:rPr>
        <w:t>Datos de las medidas de vigilancia epidemiológica intensificada</w:t>
      </w:r>
    </w:p>
    <w:p w14:paraId="0D57A693" w14:textId="77777777" w:rsidR="004D1BC2" w:rsidRPr="004D1BC2" w:rsidRDefault="004D1BC2" w:rsidP="004D1BC2">
      <w:pPr>
        <w:spacing w:after="0"/>
        <w:jc w:val="both"/>
        <w:rPr>
          <w:rFonts w:ascii="Arial" w:hAnsi="Arial" w:cs="Arial"/>
          <w:b/>
        </w:rPr>
      </w:pPr>
    </w:p>
    <w:p w14:paraId="769E17C9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Indicadores de vigilancia a nivel nacional, </w:t>
      </w:r>
      <w:r w:rsidR="004D1BC2">
        <w:rPr>
          <w:rFonts w:ascii="Arial" w:hAnsi="Arial" w:cs="Arial"/>
        </w:rPr>
        <w:t xml:space="preserve">provincial </w:t>
      </w:r>
      <w:r>
        <w:rPr>
          <w:rFonts w:ascii="Arial" w:hAnsi="Arial" w:cs="Arial"/>
        </w:rPr>
        <w:t xml:space="preserve"> y municipal </w:t>
      </w:r>
      <w:r w:rsidR="004D1BC2">
        <w:rPr>
          <w:rFonts w:ascii="Arial" w:hAnsi="Arial" w:cs="Arial"/>
        </w:rPr>
        <w:t xml:space="preserve"> en relación a tasa de notificación, investigación adecuada, toma de muestras, recibo de muestras en laboratorio  y resultados  de laboratorio </w:t>
      </w:r>
      <w:r>
        <w:rPr>
          <w:rFonts w:ascii="Arial" w:hAnsi="Arial" w:cs="Arial"/>
        </w:rPr>
        <w:t xml:space="preserve"> en el año del brote;</w:t>
      </w:r>
    </w:p>
    <w:p w14:paraId="2A0377AD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y porcentaje de casos sospechosos detectados por Vigilancia pasiva, BAI, </w:t>
      </w:r>
      <w:r w:rsidRPr="0075584B">
        <w:rPr>
          <w:rFonts w:ascii="Arial" w:hAnsi="Arial" w:cs="Arial"/>
        </w:rPr>
        <w:t xml:space="preserve">BAC, </w:t>
      </w:r>
      <w:r>
        <w:rPr>
          <w:rFonts w:ascii="Arial" w:hAnsi="Arial" w:cs="Arial"/>
        </w:rPr>
        <w:t xml:space="preserve">BAL dentro desde el inicio del brote por SE;  </w:t>
      </w:r>
      <w:r w:rsidR="004D1BC2">
        <w:rPr>
          <w:rFonts w:ascii="Arial" w:hAnsi="Arial" w:cs="Arial"/>
        </w:rPr>
        <w:t xml:space="preserve"> y en el periodo de cierre del mismo </w:t>
      </w:r>
    </w:p>
    <w:p w14:paraId="6212F2D9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Porcentaje de casos sospechosos con muestras de serología y/o detección viral; </w:t>
      </w:r>
    </w:p>
    <w:p w14:paraId="0BFB6838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y porcentaje de casos sospechosos/confirmados con censo de contactos directos;</w:t>
      </w:r>
    </w:p>
    <w:p w14:paraId="46D9E9B6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y porcentaje de contactos directos con seguimiento por 30 días</w:t>
      </w:r>
      <w:r w:rsidR="004D1BC2">
        <w:rPr>
          <w:rFonts w:ascii="Arial" w:hAnsi="Arial" w:cs="Arial"/>
        </w:rPr>
        <w:t xml:space="preserve"> documentado </w:t>
      </w:r>
      <w:r>
        <w:rPr>
          <w:rFonts w:ascii="Arial" w:hAnsi="Arial" w:cs="Arial"/>
        </w:rPr>
        <w:t>;</w:t>
      </w:r>
    </w:p>
    <w:p w14:paraId="30E7BBE4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cadenas de transmisión identificadas por SE;</w:t>
      </w:r>
    </w:p>
    <w:p w14:paraId="451FEC53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y porcentaje de cadenas de transmisión originadas por transmisión nosocomial;</w:t>
      </w:r>
    </w:p>
    <w:p w14:paraId="74BA0577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Alertas epidemiológicas publicadas a nivel </w:t>
      </w:r>
      <w:r w:rsidR="004D1BC2">
        <w:rPr>
          <w:rFonts w:ascii="Arial" w:hAnsi="Arial" w:cs="Arial"/>
        </w:rPr>
        <w:t>provincial y municipal</w:t>
      </w:r>
      <w:r>
        <w:rPr>
          <w:rFonts w:ascii="Arial" w:hAnsi="Arial" w:cs="Arial"/>
        </w:rPr>
        <w:t>;</w:t>
      </w:r>
    </w:p>
    <w:p w14:paraId="1F7093DA" w14:textId="77777777" w:rsidR="00B00CBE" w:rsidRDefault="00B00CBE" w:rsidP="00B841F7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Alertas epidemiológicas reportadas al Centro Nacional de Enlace;</w:t>
      </w:r>
    </w:p>
    <w:p w14:paraId="3CE4E225" w14:textId="77777777" w:rsidR="00B00CBE" w:rsidRDefault="00B00CBE" w:rsidP="00B00CBE">
      <w:pPr>
        <w:pStyle w:val="Prrafodelista"/>
        <w:spacing w:after="0"/>
        <w:jc w:val="both"/>
        <w:rPr>
          <w:rFonts w:ascii="Arial" w:hAnsi="Arial" w:cs="Arial"/>
        </w:rPr>
      </w:pPr>
    </w:p>
    <w:p w14:paraId="33C47803" w14:textId="77777777" w:rsidR="00B00CBE" w:rsidRPr="004D1BC2" w:rsidRDefault="00B00CBE" w:rsidP="004D1BC2">
      <w:pPr>
        <w:spacing w:after="0"/>
        <w:jc w:val="both"/>
        <w:rPr>
          <w:rFonts w:ascii="Arial" w:hAnsi="Arial" w:cs="Arial"/>
          <w:b/>
        </w:rPr>
      </w:pPr>
      <w:r w:rsidRPr="004D1BC2">
        <w:rPr>
          <w:rFonts w:ascii="Arial" w:hAnsi="Arial" w:cs="Arial"/>
          <w:b/>
        </w:rPr>
        <w:t>Datos de la logística para el control del brote</w:t>
      </w:r>
    </w:p>
    <w:p w14:paraId="133CEB60" w14:textId="77777777" w:rsidR="004D1BC2" w:rsidRPr="0084687F" w:rsidRDefault="004D1BC2" w:rsidP="004D1BC2">
      <w:pPr>
        <w:pStyle w:val="Prrafodelista"/>
        <w:spacing w:after="0"/>
        <w:jc w:val="both"/>
        <w:rPr>
          <w:rFonts w:ascii="Arial" w:hAnsi="Arial" w:cs="Arial"/>
          <w:b/>
        </w:rPr>
      </w:pPr>
    </w:p>
    <w:p w14:paraId="231E8503" w14:textId="77777777" w:rsidR="00B00CBE" w:rsidRDefault="00B00CBE" w:rsidP="00B841F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Movimientos de vacuna y jeringas a los distintos sectores según programación;</w:t>
      </w:r>
    </w:p>
    <w:p w14:paraId="64E19456" w14:textId="77777777" w:rsidR="00B00CBE" w:rsidRDefault="00B00CBE" w:rsidP="00B841F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Cronograma de salidas a terreno de los equipos de vacunación y de MRV;</w:t>
      </w:r>
    </w:p>
    <w:p w14:paraId="3D0495B0" w14:textId="77777777" w:rsidR="00B00CBE" w:rsidRDefault="00B00CBE" w:rsidP="00B841F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Cronograma de equipos de investigación de casos;</w:t>
      </w:r>
    </w:p>
    <w:p w14:paraId="73EF50BC" w14:textId="77777777" w:rsidR="00B00CBE" w:rsidRDefault="00B00CBE" w:rsidP="00B841F7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y porcentaje de equipos con vehículos y motoristas asignados para: </w:t>
      </w:r>
    </w:p>
    <w:p w14:paraId="3EF9274B" w14:textId="77777777" w:rsidR="00B00CBE" w:rsidRDefault="00B00CBE" w:rsidP="00B00CB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Investigación de casos en domicilio y rutas de desplazamiento;</w:t>
      </w:r>
    </w:p>
    <w:p w14:paraId="776550C5" w14:textId="77777777" w:rsidR="00B00CBE" w:rsidRDefault="00B00CBE" w:rsidP="00B00CB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Vacunación casa a casa, escuelas y puestos móviles;</w:t>
      </w:r>
    </w:p>
    <w:p w14:paraId="04D87E52" w14:textId="77777777" w:rsidR="00B00CBE" w:rsidRDefault="00B00CBE" w:rsidP="00B00CB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Monitoreos Rápidos de Vacunación;</w:t>
      </w:r>
    </w:p>
    <w:p w14:paraId="0072C0DF" w14:textId="77777777" w:rsidR="00B00CBE" w:rsidRDefault="00B00CBE" w:rsidP="00B00CB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Supervisión de equipos de vacunación.</w:t>
      </w:r>
    </w:p>
    <w:p w14:paraId="4D5DDD83" w14:textId="77777777" w:rsidR="00B00CBE" w:rsidRDefault="00B00CBE" w:rsidP="004D397E">
      <w:pPr>
        <w:tabs>
          <w:tab w:val="left" w:pos="1418"/>
        </w:tabs>
        <w:spacing w:after="0"/>
        <w:jc w:val="both"/>
        <w:rPr>
          <w:rFonts w:ascii="Arial" w:hAnsi="Arial" w:cs="Arial"/>
          <w:b/>
        </w:rPr>
      </w:pPr>
      <w:r w:rsidRPr="004D397E">
        <w:rPr>
          <w:rFonts w:ascii="Arial" w:hAnsi="Arial" w:cs="Arial"/>
          <w:b/>
        </w:rPr>
        <w:t>Datos complementarios del contexto epidemiológico y de servicios de salud</w:t>
      </w:r>
    </w:p>
    <w:p w14:paraId="2507D4C4" w14:textId="77777777" w:rsidR="004D397E" w:rsidRPr="004D397E" w:rsidRDefault="004D397E" w:rsidP="004D397E">
      <w:pPr>
        <w:tabs>
          <w:tab w:val="left" w:pos="1418"/>
        </w:tabs>
        <w:spacing w:after="0"/>
        <w:jc w:val="both"/>
        <w:rPr>
          <w:rFonts w:ascii="Arial" w:hAnsi="Arial" w:cs="Arial"/>
          <w:b/>
        </w:rPr>
      </w:pPr>
    </w:p>
    <w:p w14:paraId="387A30E8" w14:textId="77777777" w:rsidR="00B00CBE" w:rsidRPr="00756E67" w:rsidRDefault="00B00CBE" w:rsidP="00B00CBE">
      <w:pPr>
        <w:pStyle w:val="Prrafodelista"/>
        <w:numPr>
          <w:ilvl w:val="0"/>
          <w:numId w:val="2"/>
        </w:numPr>
        <w:tabs>
          <w:tab w:val="left" w:pos="1418"/>
        </w:tabs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Curvas epidémicas de enfermedades exantemáticas en el lugar del brote;</w:t>
      </w:r>
    </w:p>
    <w:p w14:paraId="42B2F59E" w14:textId="77777777" w:rsidR="00B00CBE" w:rsidRDefault="00B00CBE" w:rsidP="00B00CB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5584B">
        <w:rPr>
          <w:rFonts w:ascii="Arial" w:hAnsi="Arial" w:cs="Arial"/>
        </w:rPr>
        <w:t>rganización de la red de servicios</w:t>
      </w:r>
      <w:r>
        <w:rPr>
          <w:rFonts w:ascii="Arial" w:hAnsi="Arial" w:cs="Arial"/>
        </w:rPr>
        <w:t xml:space="preserve"> por sectores urbanos/rurales de municipios;</w:t>
      </w:r>
      <w:r w:rsidRPr="0075584B">
        <w:rPr>
          <w:rFonts w:ascii="Arial" w:hAnsi="Arial" w:cs="Arial"/>
        </w:rPr>
        <w:t xml:space="preserve"> </w:t>
      </w:r>
    </w:p>
    <w:p w14:paraId="66859739" w14:textId="77777777" w:rsidR="00B00CBE" w:rsidRDefault="00B00CBE" w:rsidP="00B00CB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las estrategias de comunicación social implementadas y su impacto en la curva epidémica del brote por SE (si el brote es de gran magnitud).</w:t>
      </w:r>
    </w:p>
    <w:p w14:paraId="2E0743F8" w14:textId="77777777" w:rsidR="00B00CBE" w:rsidRDefault="00B00CBE" w:rsidP="00B00CBE">
      <w:pPr>
        <w:pStyle w:val="Prrafodelista"/>
        <w:spacing w:after="0"/>
        <w:jc w:val="both"/>
        <w:rPr>
          <w:rFonts w:ascii="Arial" w:hAnsi="Arial" w:cs="Arial"/>
        </w:rPr>
      </w:pPr>
    </w:p>
    <w:p w14:paraId="67C747E6" w14:textId="77777777" w:rsidR="00B841F7" w:rsidRDefault="00B841F7" w:rsidP="00B00CBE">
      <w:pPr>
        <w:spacing w:after="0"/>
        <w:ind w:left="360" w:hanging="360"/>
        <w:jc w:val="both"/>
        <w:rPr>
          <w:rFonts w:ascii="Arial" w:hAnsi="Arial" w:cs="Arial"/>
          <w:b/>
        </w:rPr>
      </w:pPr>
    </w:p>
    <w:p w14:paraId="631E3558" w14:textId="77777777" w:rsidR="00B00CBE" w:rsidRDefault="00B00CBE" w:rsidP="00B00CBE">
      <w:pPr>
        <w:spacing w:after="0"/>
        <w:ind w:left="360" w:hanging="360"/>
        <w:jc w:val="both"/>
        <w:rPr>
          <w:rFonts w:ascii="Arial" w:hAnsi="Arial" w:cs="Arial"/>
          <w:b/>
        </w:rPr>
      </w:pPr>
      <w:r w:rsidRPr="0084687F">
        <w:rPr>
          <w:rFonts w:ascii="Arial" w:hAnsi="Arial" w:cs="Arial"/>
          <w:b/>
        </w:rPr>
        <w:lastRenderedPageBreak/>
        <w:t>Datos del ERRA:</w:t>
      </w:r>
    </w:p>
    <w:p w14:paraId="18F1554D" w14:textId="77777777" w:rsidR="004D397E" w:rsidRPr="0084687F" w:rsidRDefault="004D397E" w:rsidP="00B00CBE">
      <w:pPr>
        <w:spacing w:after="0"/>
        <w:ind w:left="360" w:hanging="360"/>
        <w:jc w:val="both"/>
        <w:rPr>
          <w:rFonts w:ascii="Arial" w:hAnsi="Arial" w:cs="Arial"/>
          <w:b/>
        </w:rPr>
      </w:pPr>
    </w:p>
    <w:p w14:paraId="7D6226C3" w14:textId="77777777" w:rsidR="00B00CBE" w:rsidRDefault="00B00CBE" w:rsidP="00B00CB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2D4">
        <w:rPr>
          <w:rFonts w:ascii="Arial" w:hAnsi="Arial" w:cs="Arial"/>
        </w:rPr>
        <w:t>Directorio de los miembros de los ERRA nacional y sub nacional visible y disponible.</w:t>
      </w:r>
    </w:p>
    <w:p w14:paraId="39760518" w14:textId="77777777" w:rsidR="00B00CBE" w:rsidRPr="007442D4" w:rsidRDefault="00B00CBE" w:rsidP="00B00CBE">
      <w:pPr>
        <w:pStyle w:val="Prrafodelista"/>
        <w:spacing w:after="0"/>
        <w:jc w:val="both"/>
        <w:rPr>
          <w:rFonts w:ascii="Arial" w:hAnsi="Arial" w:cs="Arial"/>
        </w:rPr>
      </w:pPr>
    </w:p>
    <w:p w14:paraId="7FAE461A" w14:textId="77777777" w:rsidR="00B00CBE" w:rsidRPr="007442D4" w:rsidRDefault="00B00CBE" w:rsidP="00B00CBE">
      <w:pPr>
        <w:spacing w:after="0"/>
        <w:jc w:val="both"/>
        <w:rPr>
          <w:rFonts w:ascii="Arial" w:hAnsi="Arial" w:cs="Arial"/>
        </w:rPr>
      </w:pPr>
      <w:r w:rsidRPr="007442D4">
        <w:rPr>
          <w:rFonts w:ascii="Arial" w:hAnsi="Arial" w:cs="Arial"/>
        </w:rPr>
        <w:t>El directorio debe elaborarse por niveles, con los nombres, celulares, correos electrónicos, instituciones donde laboran, horarios, fechas de desplazamiento a lugares específicos, entre otros datos.</w:t>
      </w:r>
    </w:p>
    <w:p w14:paraId="5BC45239" w14:textId="77777777" w:rsidR="001C7971" w:rsidRDefault="001C7971"/>
    <w:sectPr w:rsidR="001C7971" w:rsidSect="009249E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8A4"/>
    <w:multiLevelType w:val="hybridMultilevel"/>
    <w:tmpl w:val="01161A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E7E78"/>
    <w:multiLevelType w:val="hybridMultilevel"/>
    <w:tmpl w:val="0D1A13A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2D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836"/>
    <w:multiLevelType w:val="hybridMultilevel"/>
    <w:tmpl w:val="E33C1E00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B63E2"/>
    <w:multiLevelType w:val="hybridMultilevel"/>
    <w:tmpl w:val="35D8325E"/>
    <w:lvl w:ilvl="0" w:tplc="480A000D">
      <w:start w:val="1"/>
      <w:numFmt w:val="bullet"/>
      <w:lvlText w:val=""/>
      <w:lvlJc w:val="left"/>
      <w:pPr>
        <w:ind w:left="2083" w:hanging="360"/>
      </w:pPr>
      <w:rPr>
        <w:rFonts w:ascii="Wingdings" w:hAnsi="Wingdings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 w15:restartNumberingAfterBreak="0">
    <w:nsid w:val="399D6AA9"/>
    <w:multiLevelType w:val="multilevel"/>
    <w:tmpl w:val="275C7C3A"/>
    <w:lvl w:ilvl="0">
      <w:start w:val="1"/>
      <w:numFmt w:val="low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07695"/>
    <w:multiLevelType w:val="hybridMultilevel"/>
    <w:tmpl w:val="01161A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C36DA"/>
    <w:multiLevelType w:val="hybridMultilevel"/>
    <w:tmpl w:val="D7EE5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2C2D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589"/>
    <w:multiLevelType w:val="hybridMultilevel"/>
    <w:tmpl w:val="1AC8E376"/>
    <w:lvl w:ilvl="0" w:tplc="0C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7D71A6D"/>
    <w:multiLevelType w:val="multilevel"/>
    <w:tmpl w:val="108058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2041F4"/>
    <w:multiLevelType w:val="hybridMultilevel"/>
    <w:tmpl w:val="B9801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2483"/>
    <w:multiLevelType w:val="hybridMultilevel"/>
    <w:tmpl w:val="0276CD6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2D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90DBC"/>
    <w:multiLevelType w:val="hybridMultilevel"/>
    <w:tmpl w:val="4BB6EFDA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6B7D6805"/>
    <w:multiLevelType w:val="hybridMultilevel"/>
    <w:tmpl w:val="B7024B20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03432"/>
    <w:multiLevelType w:val="hybridMultilevel"/>
    <w:tmpl w:val="33EA1D74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5D2F1B"/>
    <w:multiLevelType w:val="hybridMultilevel"/>
    <w:tmpl w:val="F7065F1E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5631B"/>
    <w:multiLevelType w:val="multilevel"/>
    <w:tmpl w:val="BAA01F2A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3315C0"/>
    <w:multiLevelType w:val="hybridMultilevel"/>
    <w:tmpl w:val="25A0D2F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BE"/>
    <w:rsid w:val="00126DBF"/>
    <w:rsid w:val="001C7971"/>
    <w:rsid w:val="002268B9"/>
    <w:rsid w:val="003D42FD"/>
    <w:rsid w:val="003E6257"/>
    <w:rsid w:val="00490CD9"/>
    <w:rsid w:val="004D1BC2"/>
    <w:rsid w:val="004D397E"/>
    <w:rsid w:val="0070085E"/>
    <w:rsid w:val="008655EC"/>
    <w:rsid w:val="009249EB"/>
    <w:rsid w:val="0097671F"/>
    <w:rsid w:val="00A20953"/>
    <w:rsid w:val="00B00CBE"/>
    <w:rsid w:val="00B841F7"/>
    <w:rsid w:val="00C52102"/>
    <w:rsid w:val="00E6141B"/>
    <w:rsid w:val="00E67B5B"/>
    <w:rsid w:val="00E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BEC49"/>
  <w15:chartTrackingRefBased/>
  <w15:docId w15:val="{86D0A365-8872-410B-952D-4FFED1C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B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0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00C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00C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Duron</dc:creator>
  <cp:keywords/>
  <dc:description/>
  <cp:lastModifiedBy>R</cp:lastModifiedBy>
  <cp:revision>2</cp:revision>
  <dcterms:created xsi:type="dcterms:W3CDTF">2021-08-23T17:14:00Z</dcterms:created>
  <dcterms:modified xsi:type="dcterms:W3CDTF">2021-08-23T17:14:00Z</dcterms:modified>
</cp:coreProperties>
</file>